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wmf" ContentType="image/x-wmf"/>
  <Override PartName="/word/media/image5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InterRisk Towarzystwo Ubezpieczeń S.A. ViennaInsurance Group z siedzibą w Warszawie przy ul. St. Noakowskiego 22, </w:t>
      </w:r>
    </w:p>
    <w:p>
      <w:pPr>
        <w:pStyle w:val="Stopka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wpisane do rejestru przedsiębiorców Krajowego Rejestru Sądowego prowadzonego przez Sąd Rejonowy dla m.st. Warszawy</w:t>
      </w:r>
    </w:p>
    <w:p>
      <w:pPr>
        <w:pStyle w:val="Stopka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w Warszawie, XII Wydział Gospodarczy Krajowego Rejestru Sądowego pod nr KRS 0000054136, NIP 526-00-38-806,</w:t>
      </w:r>
    </w:p>
    <w:p>
      <w:pPr>
        <w:pStyle w:val="Stopka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o kapitale zakładowym w kwocie 137.640.100,00 PLN (opłacony w całości).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1719DB7D">
                <wp:simplePos x="0" y="0"/>
                <wp:positionH relativeFrom="margin">
                  <wp:posOffset>483235</wp:posOffset>
                </wp:positionH>
                <wp:positionV relativeFrom="paragraph">
                  <wp:posOffset>27305</wp:posOffset>
                </wp:positionV>
                <wp:extent cx="2385060" cy="458470"/>
                <wp:effectExtent l="0" t="0" r="0" b="0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280" cy="45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0000"/>
                                <w:sz w:val="52"/>
                                <w:szCs w:val="52"/>
                              </w:rPr>
                              <w:t>EDU Plus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38.05pt;margin-top:2.15pt;width:187.7pt;height:36pt;mso-position-horizontal-relative:margin" wp14:anchorId="1719DB7D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cs="Arial" w:ascii="Arial" w:hAnsi="Arial"/>
                          <w:color w:val="FF0000"/>
                          <w:sz w:val="52"/>
                          <w:szCs w:val="52"/>
                        </w:rPr>
                        <w:t>EDU Plus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7" w:hanging="0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>
        <w:rPr>
          <w:rFonts w:cs="Arial" w:ascii="Arial" w:hAnsi="Arial"/>
          <w:color w:val="595959" w:themeColor="text1" w:themeTint="a6"/>
          <w:sz w:val="36"/>
          <w:szCs w:val="36"/>
        </w:rPr>
        <w:t>Program ochrony ubezpieczeniowej dzieci i młodzieży</w:t>
      </w:r>
    </w:p>
    <w:p>
      <w:pPr>
        <w:pStyle w:val="Normal"/>
        <w:ind w:left="567" w:hanging="0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>
        <w:rPr>
          <w:rFonts w:cs="Arial" w:ascii="Arial" w:hAnsi="Arial"/>
          <w:color w:val="595959" w:themeColor="text1" w:themeTint="a6"/>
          <w:sz w:val="36"/>
          <w:szCs w:val="36"/>
        </w:rPr>
        <w:t>oraz personelu placówki oświatowej na rok szkolny 2020/2021</w:t>
      </w:r>
    </w:p>
    <w:p>
      <w:pPr>
        <w:pStyle w:val="Normal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>
        <w:rPr>
          <w:rFonts w:cs="Arial" w:ascii="Arial" w:hAnsi="Arial"/>
          <w:color w:val="595959" w:themeColor="text1" w:themeTint="a6"/>
          <w:sz w:val="36"/>
          <w:szCs w:val="36"/>
        </w:rPr>
      </w:r>
    </w:p>
    <w:p>
      <w:pPr>
        <w:pStyle w:val="Normal"/>
        <w:jc w:val="center"/>
        <w:rPr>
          <w:sz w:val="52"/>
        </w:rPr>
      </w:pPr>
      <w:r>
        <w:rPr>
          <w:rFonts w:cs="Arial" w:ascii="Arial" w:hAnsi="Arial"/>
          <w:color w:val="595959" w:themeColor="text1" w:themeTint="a6"/>
          <w:sz w:val="36"/>
          <w:szCs w:val="36"/>
        </w:rPr>
        <w:t xml:space="preserve">Dla:  </w:t>
      </w:r>
      <w:r>
        <w:rPr>
          <w:sz w:val="52"/>
        </w:rPr>
        <w:t>Szkoły Podstawowej</w:t>
      </w:r>
    </w:p>
    <w:p>
      <w:pPr>
        <w:pStyle w:val="Normal"/>
        <w:jc w:val="center"/>
        <w:rPr>
          <w:sz w:val="52"/>
        </w:rPr>
      </w:pPr>
      <w:r>
        <w:rPr>
          <w:sz w:val="5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60606CD">
                <wp:simplePos x="0" y="0"/>
                <wp:positionH relativeFrom="margin">
                  <wp:posOffset>1276985</wp:posOffset>
                </wp:positionH>
                <wp:positionV relativeFrom="paragraph">
                  <wp:posOffset>223520</wp:posOffset>
                </wp:positionV>
                <wp:extent cx="5030470" cy="3182620"/>
                <wp:effectExtent l="0" t="0" r="0" b="0"/>
                <wp:wrapNone/>
                <wp:docPr id="3" name="Pole tekstow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920" cy="31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 xml:space="preserve">365 dni w roku, </w:t>
                            </w:r>
                            <w:r>
                              <w:rPr>
                                <w:rFonts w:cs="Arial" w:ascii="Arial" w:hAnsi="Arial"/>
                                <w:color w:val="FF0000"/>
                              </w:rPr>
                              <w:t xml:space="preserve">24 godziny </w:t>
                            </w: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>na dobę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b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Odpowiedzialność za zdarzenia związane z pandemią i epidemią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0000"/>
                              </w:rPr>
                              <w:t xml:space="preserve">Wyczynowe uprawianie sportu </w:t>
                            </w: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>w cenie ubezpieczenia. Bez zwyżki składki.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0000"/>
                              </w:rPr>
                              <w:t>Zdiagnozowanie sepsy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>Pobyt w szpitalu w wyniku NW i choroby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>Koszty leczenia wraz z rehabilitacją i konsultacją psychologa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0000"/>
                              </w:rPr>
                              <w:t xml:space="preserve">Borelioza </w:t>
                            </w: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>oraz choroby odzwierzęce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 xml:space="preserve">Uszkodzenie </w:t>
                            </w:r>
                            <w:r>
                              <w:rPr>
                                <w:rFonts w:cs="Arial" w:ascii="Arial" w:hAnsi="Arial"/>
                                <w:color w:val="FF0000"/>
                              </w:rPr>
                              <w:t>okularów</w:t>
                            </w: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 xml:space="preserve"> oraz aparatów słuchowych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36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 xml:space="preserve">Do wyboru </w:t>
                            </w:r>
                            <w:r>
                              <w:rPr>
                                <w:rFonts w:cs="Arial" w:ascii="Arial" w:hAnsi="Arial"/>
                                <w:color w:val="FF0000"/>
                              </w:rPr>
                              <w:t xml:space="preserve">27 opcji </w:t>
                            </w:r>
                            <w:r>
                              <w:rPr>
                                <w:rFonts w:cs="Arial" w:ascii="Arial" w:hAnsi="Arial"/>
                                <w:color w:val="595959" w:themeColor="text1" w:themeTint="a6"/>
                              </w:rPr>
                              <w:t>dodatkowych</w:t>
                            </w:r>
                          </w:p>
                          <w:p>
                            <w:pPr>
                              <w:pStyle w:val="ListParagraph"/>
                              <w:spacing w:lineRule="auto" w:line="360" w:before="0" w:after="160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3" fillcolor="white" stroked="f" style="position:absolute;margin-left:100.55pt;margin-top:17.6pt;width:396pt;height:250.5pt;mso-position-horizontal-relative:margin" wp14:anchorId="560606C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 xml:space="preserve">365 dni w roku, </w:t>
                      </w:r>
                      <w:r>
                        <w:rPr>
                          <w:rFonts w:cs="Arial" w:ascii="Arial" w:hAnsi="Arial"/>
                          <w:color w:val="FF0000"/>
                        </w:rPr>
                        <w:t xml:space="preserve">24 godziny </w:t>
                      </w: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>na dobę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b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Odpowiedzialność za zdarzenia związane z pandemią i epidemią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FF0000"/>
                        </w:rPr>
                        <w:t xml:space="preserve">Wyczynowe uprawianie sportu </w:t>
                      </w: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>w cenie ubezpieczenia. Bez zwyżki składki.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FF0000"/>
                        </w:rPr>
                        <w:t>Zdiagnozowanie sepsy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>Pobyt w szpitalu w wyniku NW i choroby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>Koszty leczenia wraz z rehabilitacją i konsultacją psychologa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FF0000"/>
                        </w:rPr>
                        <w:t xml:space="preserve">Borelioza </w:t>
                      </w: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>oraz choroby odzwierzęce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 xml:space="preserve">Uszkodzenie </w:t>
                      </w:r>
                      <w:r>
                        <w:rPr>
                          <w:rFonts w:cs="Arial" w:ascii="Arial" w:hAnsi="Arial"/>
                          <w:color w:val="FF0000"/>
                        </w:rPr>
                        <w:t>okularów</w:t>
                      </w: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 xml:space="preserve"> oraz aparatów słuchowych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36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 xml:space="preserve">Do wyboru </w:t>
                      </w:r>
                      <w:r>
                        <w:rPr>
                          <w:rFonts w:cs="Arial" w:ascii="Arial" w:hAnsi="Arial"/>
                          <w:color w:val="FF0000"/>
                        </w:rPr>
                        <w:t xml:space="preserve">27 opcji </w:t>
                      </w:r>
                      <w:r>
                        <w:rPr>
                          <w:rFonts w:cs="Arial" w:ascii="Arial" w:hAnsi="Arial"/>
                          <w:color w:val="595959" w:themeColor="text1" w:themeTint="a6"/>
                        </w:rPr>
                        <w:t>dodatkowych</w:t>
                      </w:r>
                    </w:p>
                    <w:p>
                      <w:pPr>
                        <w:pStyle w:val="ListParagraph"/>
                        <w:spacing w:lineRule="auto" w:line="360" w:before="0" w:after="160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2F5496" w:themeColor="accent1" w:themeShade="bf"/>
        </w:rPr>
      </w:pPr>
      <w:r>
        <w:rPr>
          <w:b/>
          <w:bCs/>
          <w:color w:val="C00000"/>
          <w:sz w:val="36"/>
          <w:szCs w:val="36"/>
        </w:rPr>
        <w:t>Ofertę przygotował</w:t>
      </w:r>
      <w:r>
        <w:rPr>
          <w:b/>
          <w:bCs/>
          <w:color w:val="2F5496" w:themeColor="accent1" w:themeShade="bf"/>
        </w:rPr>
        <w:t>:</w:t>
      </w:r>
      <w:r>
        <w:rPr>
          <w:color w:val="2F5496" w:themeColor="accent1" w:themeShade="bf"/>
        </w:rPr>
        <w:t xml:space="preserve"> ANDAR Ubezpieczenia, Plac Jana Kilińskigo 2, 35-005 Rzeszów, tel: </w:t>
      </w:r>
      <w:bookmarkStart w:id="0" w:name="_GoBack"/>
      <w:bookmarkEnd w:id="0"/>
      <w:r>
        <w:rPr>
          <w:color w:val="2F5496" w:themeColor="accent1" w:themeShade="bf"/>
        </w:rPr>
        <w:t xml:space="preserve"> 534 909 512</w:t>
      </w:r>
    </w:p>
    <w:p>
      <w:pPr>
        <w:pStyle w:val="Normal"/>
        <w:rPr>
          <w:b/>
          <w:b/>
          <w:bCs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2964180</wp:posOffset>
            </wp:positionH>
            <wp:positionV relativeFrom="paragraph">
              <wp:posOffset>393700</wp:posOffset>
            </wp:positionV>
            <wp:extent cx="3989705" cy="1146810"/>
            <wp:effectExtent l="0" t="0" r="0" b="0"/>
            <wp:wrapTight wrapText="bothSides">
              <wp:wrapPolygon edited="0">
                <wp:start x="-66" y="0"/>
                <wp:lineTo x="-66" y="21098"/>
                <wp:lineTo x="21446" y="21098"/>
                <wp:lineTo x="21446" y="0"/>
                <wp:lineTo x="-66" y="0"/>
              </wp:wrapPolygon>
            </wp:wrapTight>
            <wp:docPr id="5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6" w:themeColor="accent1" w:themeShade="bf"/>
        </w:rPr>
        <w:t>O</w:t>
      </w:r>
      <w:r>
        <w:rPr>
          <w:color w:val="2F5496" w:themeColor="accent1" w:themeShade="bf"/>
        </w:rPr>
        <w:t xml:space="preserve">ddział InterRisk TU SA Vienna Insurance Group w Rzeszowie </w:t>
        <w:br/>
      </w:r>
      <w:r>
        <w:rPr>
          <w:b/>
          <w:bCs/>
          <w:color w:val="2F5496" w:themeColor="accent1" w:themeShade="bf"/>
        </w:rPr>
        <w:t>Oferta skierowana do placówek dotychczas nie ubezpieczanych przez InterRisk TU S.A. Vienna Insurance Group.</w:t>
      </w:r>
    </w:p>
    <w:p>
      <w:pPr>
        <w:pStyle w:val="Normal"/>
        <w:rPr>
          <w:color w:val="2F5496" w:themeColor="accent1" w:themeShade="bf"/>
        </w:rPr>
      </w:pPr>
      <w:r>
        <w:rPr>
          <w:color w:val="2F5496" w:themeColor="accent1" w:themeShade="bf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ArialMT" w:hAnsi="ArialMT" w:cs="ArialMT"/>
          <w:b/>
          <w:b/>
          <w:sz w:val="24"/>
          <w:szCs w:val="24"/>
          <w:u w:val="single"/>
        </w:rPr>
      </w:pPr>
      <w:r>
        <w:rPr>
          <w:rFonts w:cs="ArialMT" w:ascii="ArialMT" w:hAnsi="ArialMT"/>
          <w:b/>
          <w:sz w:val="24"/>
          <w:szCs w:val="24"/>
          <w:u w:val="single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284" w:right="618" w:header="709" w:top="766" w:footer="709" w:bottom="76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cs="Calibri" w:cstheme="minorHAnsi"/>
          <w:b/>
          <w:b/>
          <w:color w:val="FFFFFF" w:themeColor="background1"/>
          <w:sz w:val="24"/>
          <w:szCs w:val="24"/>
          <w:u w:val="single"/>
        </w:rPr>
      </w:pPr>
      <w:r>
        <w:rPr>
          <w:rFonts w:cs="Calibri" w:cstheme="minorHAnsi"/>
          <w:b/>
          <w:color w:val="FFFFFF" w:themeColor="background1"/>
          <w:sz w:val="24"/>
          <w:szCs w:val="24"/>
          <w:u w:val="single"/>
        </w:rPr>
        <w:t>InterRisk TU S.A. Vienna Insurance Group ponadto oferuje:</w:t>
      </w:r>
    </w:p>
    <w:tbl>
      <w:tblPr>
        <w:tblW w:w="16276" w:type="dxa"/>
        <w:jc w:val="left"/>
        <w:tblInd w:w="27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5"/>
        <w:gridCol w:w="5176"/>
        <w:gridCol w:w="1736"/>
        <w:gridCol w:w="1464"/>
        <w:gridCol w:w="1536"/>
        <w:gridCol w:w="1515"/>
        <w:gridCol w:w="1465"/>
        <w:gridCol w:w="1537"/>
        <w:gridCol w:w="1517"/>
        <w:gridCol w:w="143"/>
      </w:tblGrid>
      <w:tr>
        <w:trPr>
          <w:trHeight w:val="460" w:hRule="atLeast"/>
        </w:trPr>
        <w:tc>
          <w:tcPr>
            <w:tcW w:w="5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1F4E78"/>
                <w:sz w:val="40"/>
                <w:szCs w:val="4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  <w:t>OPCJA PODSTAWOWA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43" w:type="dxa"/>
            <w:tcBorders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1F4E78"/>
                <w:sz w:val="40"/>
                <w:szCs w:val="4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5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1F4E78"/>
                <w:sz w:val="40"/>
                <w:szCs w:val="4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  <w:tc>
          <w:tcPr>
            <w:tcW w:w="1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  <w:tc>
          <w:tcPr>
            <w:tcW w:w="1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  <w:tc>
          <w:tcPr>
            <w:tcW w:w="1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pl-PL"/>
              </w:rPr>
            </w:r>
          </w:p>
        </w:tc>
      </w:tr>
      <w:tr>
        <w:trPr>
          <w:trHeight w:val="355" w:hRule="atLeast"/>
        </w:trPr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ŚWIADCZENIE</w:t>
            </w:r>
          </w:p>
        </w:tc>
        <w:tc>
          <w:tcPr>
            <w:tcW w:w="1464" w:type="dxa"/>
            <w:tcBorders/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5" w:type="dxa"/>
            <w:tcBorders/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66" w:hRule="atLeast"/>
        </w:trPr>
        <w:tc>
          <w:tcPr>
            <w:tcW w:w="185" w:type="dxa"/>
            <w:vMerge w:val="restart"/>
            <w:tcBorders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Śmierć Ubezpieczonego w wyniku nieszczęśliwego wypadku na terenie placówki oświatowej lub pod opieką pracownika placówki oświatowej</w:t>
            </w: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20 000,00 zł 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24 000,00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30 000,00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38 000,00 zł 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44 000,00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50 000,00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78 000,00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1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>Ś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mierć ubezpieczonego w następstwie wypadku komunikacyjnego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10 000,00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17 000,00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20 000,00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24 000,00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27 000,00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40 000,00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54 000,00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Śmierć Ubezpieczonego w wyniku nieszczęśliwego wypadku w tym również zawał serca i udar mózgu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10 000,00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12 000,00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15 000,00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19 000,00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22 000,00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25 000,00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39 000,00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z tytułu uszczerbku na zdrowiu w wyniku nieszczęśliwego wypadku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10 000,00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12 000,00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15 000,00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19 000,00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22 000,00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25 000,00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39 000,00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100% uszczerbku na zdrowiu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10 000,00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12 000,00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15 000,00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19 000,00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22 000,00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25 000,00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39 000,00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1% uszczerbku na zdrowiu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100,00 zł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120,00 zł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150,00 zł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190,00 zł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220,00 zł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250,00 zł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390,00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koszty nabycia wyrobów medycznych wydawanych na zlecenie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3 600,00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4 500,00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5 700,00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6 600,00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7 500,00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11 700,00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1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zwrot kosztu zakupu lub naprawy okularów korekcyjnych lub aparatu słuchowego uszkodzonych podczas wypadku w czasie zajęć lekcyjnych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zwrot kosztów przekwalifikowania zawodowego osób niepełnosprawnych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3 600,00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4 500,00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5 700,00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6 600,00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7 500,00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11 700,00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jednorazowe świadczenie z tytułu pogryzienie przez psa,  pokąsania ukąszenie/użądlenie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200,00 zł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240,00 zł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300,00 zł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380,00 zł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440,00 zł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500,00 zł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780,00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Jednorazowe świadczenie z tytułu zdiagnozowania sepsy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3 600,00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4 500,00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5 700,00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6 600,00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7 500,00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11 700,00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śmierć rodzica lub opiekuna prawnego Ubezpieczonego w następstwie nieszczęśliwego wypadku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1 200,00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1 900,00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2 200,00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2 500,00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3 900,00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z tytułu uszczerbku na zdrowiu w wyniku ataku padaczki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100,00 zł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120,00 zł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150,00 zł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190,00 zł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220,00 zł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250,00 zł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390,00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Wstrząśnienie mózgu w wyniku nieszczęśliwego wypadku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300,00 zł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360,00 zł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450,00 zł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570,00 zł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660,00 zł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750,00 zł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>1 170,00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Zatrucie pokarmowe lub nagłe zatrucie gazami, bądź porażenie prądem lub piorunem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305496"/>
                <w:sz w:val="20"/>
                <w:szCs w:val="20"/>
                <w:lang w:eastAsia="pl-PL"/>
              </w:rPr>
              <w:t>500,00 zł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305496"/>
                <w:sz w:val="20"/>
                <w:szCs w:val="20"/>
                <w:lang w:eastAsia="pl-PL"/>
              </w:rPr>
              <w:t>600,00 zł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305496"/>
                <w:sz w:val="20"/>
                <w:szCs w:val="20"/>
                <w:lang w:eastAsia="pl-PL"/>
              </w:rPr>
              <w:t>750,00 zł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305496"/>
                <w:sz w:val="20"/>
                <w:szCs w:val="20"/>
                <w:lang w:eastAsia="pl-PL"/>
              </w:rPr>
              <w:t>950,00 zł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305496"/>
                <w:sz w:val="20"/>
                <w:szCs w:val="20"/>
                <w:lang w:eastAsia="pl-PL"/>
              </w:rPr>
              <w:t>1 100,00 zł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305496"/>
                <w:sz w:val="20"/>
                <w:szCs w:val="20"/>
                <w:lang w:eastAsia="pl-PL"/>
              </w:rPr>
              <w:t>1 250,00 zł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305496"/>
                <w:sz w:val="20"/>
                <w:szCs w:val="20"/>
                <w:lang w:eastAsia="pl-PL"/>
              </w:rPr>
              <w:t>1 950,00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7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jednorazowe świadczenie z tytułu zdiagnozowania choroby odzwierzęcej (wścieklizna, ornitoza, toksokaroza, toksoplazmoza,  bruceloza, bąblowica)  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750,00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950,00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1 100,00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1 250,00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1 950,00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right w:val="single" w:sz="4" w:space="0" w:color="000000"/>
            </w:tcBorders>
            <w:shd w:color="000000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6"/>
                <w:szCs w:val="16"/>
                <w:lang w:eastAsia="pl-PL"/>
              </w:rPr>
              <w:t>Uszkodzenie ciała w wyniku NW wymagające interwencji lekarskiej i minimum dwóch wizyt kontrolnych</w:t>
            </w:r>
          </w:p>
        </w:tc>
        <w:tc>
          <w:tcPr>
            <w:tcW w:w="1736" w:type="dxa"/>
            <w:tcBorders/>
            <w:shd w:color="000000" w:fill="007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  <w:t>100 zł</w:t>
            </w:r>
          </w:p>
        </w:tc>
        <w:tc>
          <w:tcPr>
            <w:tcW w:w="1464" w:type="dxa"/>
            <w:tcBorders/>
            <w:shd w:color="000000" w:fill="007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  <w:t>120 zł</w:t>
            </w:r>
          </w:p>
        </w:tc>
        <w:tc>
          <w:tcPr>
            <w:tcW w:w="1536" w:type="dxa"/>
            <w:tcBorders/>
            <w:shd w:color="000000" w:fill="007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  <w:t>150 zł</w:t>
            </w:r>
          </w:p>
        </w:tc>
        <w:tc>
          <w:tcPr>
            <w:tcW w:w="1515" w:type="dxa"/>
            <w:tcBorders/>
            <w:shd w:color="000000" w:fill="007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  <w:t>190 zł</w:t>
            </w:r>
          </w:p>
        </w:tc>
        <w:tc>
          <w:tcPr>
            <w:tcW w:w="1465" w:type="dxa"/>
            <w:tcBorders/>
            <w:shd w:color="000000" w:fill="007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  <w:t>220 zł</w:t>
            </w:r>
          </w:p>
        </w:tc>
        <w:tc>
          <w:tcPr>
            <w:tcW w:w="1537" w:type="dxa"/>
            <w:tcBorders/>
            <w:shd w:color="000000" w:fill="007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  <w:t>250 zł</w:t>
            </w:r>
          </w:p>
        </w:tc>
        <w:tc>
          <w:tcPr>
            <w:tcW w:w="1517" w:type="dxa"/>
            <w:tcBorders/>
            <w:shd w:color="000000" w:fill="007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  <w:t>390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8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>Opcja Dodatkowa D4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pobytu w szpitalu w wyniku nieszczęśliwego wypadku</w:t>
            </w: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1 dnia pobytu w szpitalu *</w:t>
            </w: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40,00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70,00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90,00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88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Opcja Dodatkowa D5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pobytu w szpitalu w wyniku choroby</w:t>
            </w: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w tym również pobyt w szpitalu w wyniku chorób związanych z pandemią lub epidemią </w:t>
            </w:r>
            <w:r>
              <w:rPr>
                <w:rFonts w:eastAsia="Times New Roman" w:cs="Arial"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2 dnia pobytu w szpitalu</w:t>
            </w: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40,00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60,00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70,00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85,00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Opcja Dodatkowa D6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poważne choroby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Opcja Dodatkowa D8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operacja w wyniku nieszczęśliwego wypadku</w:t>
            </w: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Zgodnie z Tabelą nr 8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Opcja Dodatkowa D9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operacja w wyniku choroby</w:t>
            </w:r>
            <w:r>
              <w:rPr>
                <w:rFonts w:eastAsia="Times New Roman" w:cs="Arial" w:ascii="Arial" w:hAnsi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Zgodnie z Tabelą nr 9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– koszty leczenia w wyniku nieszczęśliwego wypadku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2 000,00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2 000,00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2 000,00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2 500,00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2 500,00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 xml:space="preserve">– rehabilitacja 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– konsultacja psychologa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44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Opcja Dodatkowa D13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– Koszty leczenia stomatologicznego w wyniku NW</w:t>
            </w: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podlimit na jeden ząb 300 zł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6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Opcja Dodatkowa D20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– Pakiet KLESZCZ i rozpoznanie boreliozy</w:t>
            </w: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w tym: 1 000 zł – rozpoznanie boreliozy, 150 zł – wizyta u lekarza, 150 zł – badania diagnostyczne, do 200 zł - antybiotykoterapia  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1 500,00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96" w:hRule="atLeast"/>
        </w:trPr>
        <w:tc>
          <w:tcPr>
            <w:tcW w:w="18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Opcja Dodatkowa D26 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l-PL"/>
              </w:rPr>
              <w:t>–  e-Rehabilitacja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Arial" w:ascii="Arial" w:hAnsi="Arial"/>
                <w:color w:val="1F4E78"/>
                <w:sz w:val="20"/>
                <w:szCs w:val="20"/>
                <w:lang w:eastAsia="pl-PL"/>
              </w:rPr>
              <w:t xml:space="preserve">5 000,00 zł 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59" w:hRule="atLeast"/>
        </w:trPr>
        <w:tc>
          <w:tcPr>
            <w:tcW w:w="53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8"/>
                <w:szCs w:val="28"/>
                <w:lang w:eastAsia="pl-PL"/>
              </w:rPr>
              <w:t>Składka roczna od osoby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color="000000" w:fill="FF7C8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36"/>
                <w:szCs w:val="36"/>
                <w:lang w:eastAsia="pl-PL"/>
              </w:rPr>
              <w:t>29,00 zł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color="000000" w:fill="FF7C8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36"/>
                <w:szCs w:val="36"/>
                <w:lang w:eastAsia="pl-PL"/>
              </w:rPr>
              <w:t>34,00 zł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000000" w:fill="FF7C8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36"/>
                <w:szCs w:val="36"/>
                <w:lang w:eastAsia="pl-PL"/>
              </w:rPr>
              <w:t>40,00 zł</w:t>
            </w:r>
          </w:p>
        </w:tc>
        <w:tc>
          <w:tcPr>
            <w:tcW w:w="1515" w:type="dxa"/>
            <w:tcBorders/>
            <w:shd w:color="000000" w:fill="FF7C8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36"/>
                <w:szCs w:val="36"/>
                <w:lang w:eastAsia="pl-PL"/>
              </w:rPr>
              <w:t>49,00 zł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7C8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36"/>
                <w:szCs w:val="36"/>
                <w:lang w:eastAsia="pl-PL"/>
              </w:rPr>
              <w:t>55,00 zł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color="000000" w:fill="FF7C8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36"/>
                <w:szCs w:val="36"/>
                <w:lang w:eastAsia="pl-PL"/>
              </w:rPr>
              <w:t>65,00 zł</w:t>
            </w:r>
          </w:p>
        </w:tc>
        <w:tc>
          <w:tcPr>
            <w:tcW w:w="1517" w:type="dxa"/>
            <w:tcBorders/>
            <w:shd w:color="000000" w:fill="FF7C8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36"/>
                <w:szCs w:val="36"/>
                <w:lang w:eastAsia="pl-PL"/>
              </w:rPr>
              <w:t>99,00 zł</w:t>
            </w:r>
          </w:p>
        </w:tc>
        <w:tc>
          <w:tcPr>
            <w:tcW w:w="1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0" w:right="567" w:header="709" w:top="766" w:footer="709" w:bottom="76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6105525</wp:posOffset>
            </wp:positionH>
            <wp:positionV relativeFrom="paragraph">
              <wp:posOffset>1218565</wp:posOffset>
            </wp:positionV>
            <wp:extent cx="3989705" cy="1146810"/>
            <wp:effectExtent l="0" t="0" r="0" b="0"/>
            <wp:wrapTight wrapText="bothSides">
              <wp:wrapPolygon edited="0">
                <wp:start x="-66" y="0"/>
                <wp:lineTo x="-66" y="21098"/>
                <wp:lineTo x="21446" y="21098"/>
                <wp:lineTo x="21446" y="0"/>
                <wp:lineTo x="-66" y="0"/>
              </wp:wrapPolygon>
            </wp:wrapTight>
            <wp:docPr id="7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>InterRisk TU S.A. Vienna Insurance Group ponadto oferuje</w:t>
      </w:r>
    </w:p>
    <w:p>
      <w:pPr>
        <w:pStyle w:val="Normal"/>
        <w:spacing w:lineRule="auto" w:line="240" w:before="0" w:after="0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b/>
          <w:b/>
          <w:bCs/>
          <w:sz w:val="36"/>
          <w:szCs w:val="36"/>
          <w:u w:val="single"/>
        </w:rPr>
      </w:pPr>
      <w:r>
        <w:rPr>
          <w:rFonts w:cs="Calibri" w:cstheme="minorHAnsi"/>
          <w:b/>
          <w:bCs/>
          <w:sz w:val="28"/>
          <w:szCs w:val="28"/>
          <w:u w:val="single"/>
        </w:rPr>
        <w:t>Zwolnienia do 10% ustalonej ilości uczniów będących w trudnej sytuacji finansowej z opłaty składki</w:t>
      </w:r>
      <w:r>
        <w:rPr>
          <w:rFonts w:cs="Calibri" w:cstheme="minorHAnsi"/>
          <w:b/>
          <w:bCs/>
          <w:sz w:val="36"/>
          <w:szCs w:val="36"/>
          <w:u w:val="single"/>
        </w:rPr>
        <w:t xml:space="preserve"> – </w:t>
      </w:r>
      <w:r>
        <w:rPr>
          <w:rFonts w:cs="Calibri" w:cstheme="minorHAnsi"/>
          <w:sz w:val="24"/>
          <w:szCs w:val="24"/>
        </w:rPr>
        <w:t>wybierając tradycyjny model zawarcia umowy</w:t>
      </w:r>
      <w:r>
        <w:rPr>
          <w:rFonts w:cs="Calibri" w:cstheme="minorHAnsi"/>
          <w:b/>
          <w:bCs/>
          <w:sz w:val="24"/>
          <w:szCs w:val="24"/>
          <w:u w:val="single"/>
        </w:rPr>
        <w:t xml:space="preserve"> lub</w:t>
        <w:br/>
        <w:t>Możliwość zawarcia polisy wirtualnej umożliwiającej rodzicowi swobodny wybór spośród wszystkich ofert – przystąpienie do ubezpieczenia on-line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color w:val="4472C4" w:themeColor="accent1"/>
          <w:sz w:val="28"/>
          <w:szCs w:val="28"/>
          <w:u w:val="single"/>
        </w:rPr>
      </w:pPr>
      <w:r>
        <w:rPr>
          <w:rFonts w:cs="Calibri" w:cstheme="minorHAnsi"/>
          <w:b/>
          <w:color w:val="4472C4" w:themeColor="accent1"/>
          <w:sz w:val="28"/>
          <w:szCs w:val="28"/>
          <w:u w:val="single"/>
        </w:rPr>
        <w:t>Wyczynowe uprawianie sportu w standardzie Ubezpieczenia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Świadczenie za pobyt w szpitalu opcja dodatkowa D4 płatna </w:t>
      </w:r>
      <w:r>
        <w:rPr>
          <w:rFonts w:cs="Calibri" w:cstheme="minorHAnsi"/>
          <w:b/>
          <w:sz w:val="28"/>
          <w:szCs w:val="28"/>
          <w:u w:val="single"/>
        </w:rPr>
        <w:t>od pierwszego dnia</w:t>
      </w:r>
      <w:r>
        <w:rPr>
          <w:rFonts w:cs="Calibri" w:cstheme="minorHAnsi"/>
          <w:sz w:val="28"/>
          <w:szCs w:val="28"/>
        </w:rPr>
        <w:t xml:space="preserve"> - pobyt w szpitalu w wyniku NW – świadczenie wypłacane do końca czasu trwania leczenia do 100 dni – nawet po zakończeniu trwania polisy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Świadczenie za pobyt w szpitalu opcja dodatkowa D5 płatna </w:t>
      </w:r>
      <w:r>
        <w:rPr>
          <w:rFonts w:cs="Calibri" w:cstheme="minorHAnsi"/>
          <w:b/>
          <w:sz w:val="28"/>
          <w:szCs w:val="28"/>
          <w:u w:val="single"/>
        </w:rPr>
        <w:t>od drugiego dnia</w:t>
      </w:r>
      <w:r>
        <w:rPr>
          <w:rFonts w:cs="Calibri" w:cstheme="minorHAnsi"/>
          <w:sz w:val="28"/>
          <w:szCs w:val="28"/>
        </w:rPr>
        <w:t xml:space="preserve"> pobyt w szpitalu w wyniku choroby - świadczenie wypłacane do końca czasu trwania leczenia do 100 dni – nawet po zakończeniu trwania polisy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Zwrot kosztów zakupu lub naprawy </w:t>
      </w:r>
      <w:r>
        <w:rPr>
          <w:rFonts w:cs="Calibri" w:cstheme="minorHAnsi"/>
          <w:b/>
          <w:bCs/>
          <w:sz w:val="28"/>
          <w:szCs w:val="28"/>
        </w:rPr>
        <w:t>okularów korekcyjnych lub aparatu słuchowego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</w:rPr>
      </w:pPr>
      <w:r>
        <w:rPr>
          <w:rFonts w:cs="Calibri" w:cstheme="minorHAnsi"/>
          <w:b/>
          <w:bCs/>
          <w:sz w:val="28"/>
          <w:szCs w:val="28"/>
        </w:rPr>
        <w:t xml:space="preserve">Pakiet Kleszcz – </w:t>
      </w:r>
      <w:r>
        <w:rPr>
          <w:rFonts w:cs="Calibri" w:cstheme="minorHAnsi"/>
          <w:sz w:val="28"/>
          <w:szCs w:val="28"/>
        </w:rPr>
        <w:t>pokryjemy koszty badań diagnostycznych, antybiotykoterapii, usunięcia kleszcza, oraz wypłacimy świadczenie 1.000 zł  w przypadku zdiagnozowania boreliozy !!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E-Rehabilitacja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color w:val="262626" w:themeColor="text1" w:themeTint="d9"/>
          <w:sz w:val="24"/>
          <w:szCs w:val="24"/>
        </w:rPr>
      </w:pPr>
      <w:r>
        <w:rPr>
          <w:rFonts w:cs="Calibri" w:cstheme="minorHAnsi"/>
          <w:color w:val="262626" w:themeColor="text1" w:themeTint="d9"/>
          <w:sz w:val="24"/>
          <w:szCs w:val="24"/>
        </w:rPr>
        <w:t>wizyta wstępna (w Centrum e-Rehabilitacji lub domu Ubezpieczonego): ocena potrzeb rehabilitacji Ubezpieczonego, instalacja systemu e-Rehabilitacji (aparatury sterująco-telemonitorującej) oraz wyjaśnienie funkcjonowania  systemu (czas trwania około 2 godzin)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62626" w:themeColor="text1" w:themeTint="d9"/>
          <w:sz w:val="24"/>
          <w:szCs w:val="24"/>
        </w:rPr>
        <w:t>codzienne sesje e-Rehabilitacji (czas trwania 30 minut) przez okres 30 dni pod nadzorem fizjoterapeuty wizyta kontrolna i przeprowadzenie oceny stanu zdrowia Ubezpieczonego i ustalenia ewentualnych dalszych potrzeb w zakresie rehabilitacji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  <w:color w:val="0070C0"/>
          <w:sz w:val="32"/>
          <w:szCs w:val="32"/>
          <w:u w:val="single"/>
        </w:rPr>
      </w:pPr>
      <w:r>
        <w:rPr>
          <w:rFonts w:cs="Calibri" w:cstheme="minorHAnsi"/>
          <w:b/>
          <w:bCs/>
          <w:color w:val="0070C0"/>
          <w:sz w:val="32"/>
          <w:szCs w:val="32"/>
          <w:u w:val="single"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ind w:left="0" w:hanging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pl-PL"/>
        </w:rPr>
        <w:t>** Przedstawiona oferta cenowa ma charakter informacyjny i nie stanowi oferty handlowej w rozumieniu Art.66 par.1 Kodeksu Cywilnego</w:t>
      </w:r>
    </w:p>
    <w:sectPr>
      <w:headerReference w:type="default" r:id="rId8"/>
      <w:footerReference w:type="default" r:id="rId9"/>
      <w:type w:val="nextPage"/>
      <w:pgSz w:w="11906" w:h="16838"/>
      <w:pgMar w:left="284" w:right="567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21" w:right="-426" w:hanging="0"/>
      <w:jc w:val="both"/>
      <w:rPr>
        <w:sz w:val="16"/>
        <w:szCs w:val="16"/>
      </w:rPr>
    </w:pPr>
    <w:r>
      <w:rPr>
        <w:sz w:val="16"/>
        <w:szCs w:val="16"/>
      </w:rPr>
      <w:t>Oferta przygotowana na podstawie Ogólnych Warunków Ubezpieczenia EDU Plus zatwierdzonych uchwałą nr 01/03/03/2020 Zarządu InterRisk TU S.A. Wiejna Insurance  Group z dnia 3 marca 2020r.  Wyłączenia i ograniczenia odpowiedzialności zawarte są w Ogólnych Warunkach Ubezpieczenia EDU Plus zatwierdzonych uchwałą nr 01/03/03/2020 Zarządu InterRisk S.A. Vienna Insurance Group z dnia 03.03.2020r. dostępnych na stronie www.interrisk.pl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21" w:right="-426" w:hanging="0"/>
      <w:jc w:val="both"/>
      <w:rPr>
        <w:sz w:val="16"/>
        <w:szCs w:val="16"/>
      </w:rPr>
    </w:pPr>
    <w:r>
      <w:rPr>
        <w:sz w:val="16"/>
        <w:szCs w:val="16"/>
      </w:rPr>
      <w:t>Oferta przygotowana na podstawie Ogólnych Warunków Ubezpieczenia EDU Plus zatwierdzonych uchwałą nr 01/03/03/2020 Zarządu InterRisk TU S.A. Wiejna Insurance  Group z dnia 3 marca 2020r.  Wyłączenia i ograniczenia odpowiedzialności zawarte są w Ogólnych Warunkach Ubezpieczenia EDU Plus zatwierdzonych uchwałą nr 01/03/03/2020 Zarządu InterRisk S.A. Vienna Insurance Group z dnia 03.03.2020r. dostępnych na stronie www.interrisk.pl</w:t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21" w:right="-426" w:hanging="0"/>
      <w:jc w:val="both"/>
      <w:rPr>
        <w:sz w:val="16"/>
        <w:szCs w:val="16"/>
      </w:rPr>
    </w:pPr>
    <w:r>
      <w:rPr>
        <w:sz w:val="16"/>
        <w:szCs w:val="16"/>
      </w:rPr>
      <w:t>Oferta przygotowana na podstawie Ogólnych Warunków Ubezpieczenia EDU Plus zatwierdzonych uchwałą nr 01/03/03/2020 Zarządu InterRisk TU S.A. Wiejna Insurance  Group z dnia 3 marca 2020r.  Wyłączenia i ograniczenia odpowiedzialności zawarte są w Ogólnych Warunkach Ubezpieczenia EDU Plus zatwierdzonych uchwałą nr 01/03/03/2020 Zarządu InterRisk S.A. Vienna Insurance Group z dnia 03.03.2020r. dostępnych na stronie www.interrisk.pl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283" w:hanging="0"/>
      <w:jc w:val="left"/>
      <w:rPr>
        <w:rFonts w:ascii="Arial" w:hAnsi="Arial" w:cs="Arial"/>
        <w:sz w:val="14"/>
        <w:szCs w:val="14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8658860</wp:posOffset>
          </wp:positionH>
          <wp:positionV relativeFrom="paragraph">
            <wp:posOffset>-374015</wp:posOffset>
          </wp:positionV>
          <wp:extent cx="1151255" cy="431165"/>
          <wp:effectExtent l="0" t="0" r="0" b="0"/>
          <wp:wrapNone/>
          <wp:docPr id="6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4"/>
        <w:szCs w:val="1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4"/>
        <w:szCs w:val="14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margin">
            <wp:posOffset>8658860</wp:posOffset>
          </wp:positionH>
          <wp:positionV relativeFrom="paragraph">
            <wp:posOffset>-374015</wp:posOffset>
          </wp:positionV>
          <wp:extent cx="1151255" cy="431165"/>
          <wp:effectExtent l="0" t="0" r="0" b="0"/>
          <wp:wrapNone/>
          <wp:docPr id="8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4"/>
        <w:szCs w:val="14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4"/>
        <w:szCs w:val="14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margin">
            <wp:posOffset>8658860</wp:posOffset>
          </wp:positionH>
          <wp:positionV relativeFrom="paragraph">
            <wp:posOffset>-374015</wp:posOffset>
          </wp:positionV>
          <wp:extent cx="1151255" cy="431165"/>
          <wp:effectExtent l="0" t="0" r="0" b="0"/>
          <wp:wrapNone/>
          <wp:docPr id="9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4"/>
        <w:szCs w:val="1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2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5106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381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3819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2f0bee"/>
    <w:rPr>
      <w:rFonts w:eastAsia="" w:eastAsiaTheme="minorEastAsia"/>
      <w:sz w:val="20"/>
      <w:szCs w:val="20"/>
      <w:lang w:val="en-US" w:bidi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189b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5106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8qarf" w:customStyle="1">
    <w:name w:val="w8qarf"/>
    <w:basedOn w:val="DefaultParagraphFont"/>
    <w:qFormat/>
    <w:rsid w:val="00d16c95"/>
    <w:rPr/>
  </w:style>
  <w:style w:type="character" w:styleId="Lrzxr" w:customStyle="1">
    <w:name w:val="lrzxr"/>
    <w:basedOn w:val="DefaultParagraphFont"/>
    <w:qFormat/>
    <w:rsid w:val="00d16c9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d38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d38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e0a97"/>
    <w:pPr>
      <w:spacing w:before="0" w:after="16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unhideWhenUsed/>
    <w:rsid w:val="002f0bee"/>
    <w:pPr>
      <w:spacing w:lineRule="auto" w:line="276" w:before="0" w:after="120"/>
      <w:ind w:left="283" w:hanging="0"/>
      <w:jc w:val="both"/>
    </w:pPr>
    <w:rPr>
      <w:rFonts w:eastAsia="" w:eastAsiaTheme="minorEastAsia"/>
      <w:sz w:val="20"/>
      <w:szCs w:val="20"/>
      <w:lang w:val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18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0be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siatki5ciemnaakcent31">
    <w:name w:val="Tabela siatki 5 — ciemna — akcent 31"/>
    <w:basedOn w:val="Standardowy"/>
    <w:uiPriority w:val="50"/>
    <w:rsid w:val="000c4d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LibreOffice/6.4.3.2$Windows_X86_64 LibreOffice_project/747b5d0ebf89f41c860ec2a39efd7cb15b54f2d8</Application>
  <Pages>3</Pages>
  <Words>1429</Words>
  <Characters>7580</Characters>
  <CharactersWithSpaces>10084</CharactersWithSpaces>
  <Paragraphs>285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2020-07-15T07:25:00Z</dcterms:created>
  <dc:creator>Krajewska-Horosz, Anna</dc:creator>
  <dc:description/>
  <dc:language>pl-PL</dc:language>
  <cp:lastModifiedBy/>
  <dcterms:modified xsi:type="dcterms:W3CDTF">2020-08-30T23:07:41Z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